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7FE3" w14:textId="77777777" w:rsidR="00E86DC6" w:rsidRPr="00AE43AC" w:rsidRDefault="00E86DC6" w:rsidP="00AE43AC">
      <w:pPr>
        <w:shd w:val="clear" w:color="auto" w:fill="FFFF66"/>
        <w:spacing w:after="0"/>
        <w:jc w:val="center"/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</w:pPr>
      <w:r w:rsidRPr="00AE43AC">
        <w:rPr>
          <w:rFonts w:ascii="Times New Roman" w:hAnsi="Times New Roman" w:cs="Times New Roman"/>
          <w:b/>
          <w:color w:val="190DB3"/>
          <w:sz w:val="28"/>
          <w:szCs w:val="28"/>
        </w:rPr>
        <w:t xml:space="preserve">Facilități fiscale pentru cheltuielile efectuate de operatorii economici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pentru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organizarea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şi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desfăşurarea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învăţământului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profesional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şi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</w:t>
      </w:r>
      <w:proofErr w:type="spellStart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>tehnic</w:t>
      </w:r>
      <w:proofErr w:type="spellEnd"/>
      <w:r w:rsidRPr="00AE43AC">
        <w:rPr>
          <w:rFonts w:ascii="Times New Roman" w:hAnsi="Times New Roman" w:cs="Times New Roman"/>
          <w:b/>
          <w:color w:val="190DB3"/>
          <w:sz w:val="28"/>
          <w:szCs w:val="28"/>
          <w:lang w:val="en-US"/>
        </w:rPr>
        <w:t xml:space="preserve">  </w:t>
      </w:r>
    </w:p>
    <w:p w14:paraId="1096D360" w14:textId="77777777" w:rsidR="00E86DC6" w:rsidRDefault="00E86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7CE4A" w14:textId="77777777" w:rsidR="00964963" w:rsidRDefault="00B33B5A" w:rsidP="00B3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Faci</w:t>
      </w:r>
      <w:r w:rsidR="00AE43AC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lități</w:t>
      </w:r>
      <w:proofErr w:type="spellEnd"/>
      <w:r w:rsidR="00AE43AC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proofErr w:type="spellStart"/>
      <w:r w:rsidR="00AE43AC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fiscal</w:t>
      </w:r>
      <w:r w:rsidR="00AE43AC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e</w:t>
      </w:r>
      <w:proofErr w:type="spellEnd"/>
      <w:r w:rsidR="00AE43AC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proofErr w:type="spellStart"/>
      <w:r w:rsidR="00AE43AC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pentru</w:t>
      </w:r>
      <w:proofErr w:type="spellEnd"/>
      <w:r w:rsidR="00AE43AC" w:rsidRPr="002F4A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E43AC">
        <w:rPr>
          <w:rFonts w:ascii="Times New Roman" w:hAnsi="Times New Roman" w:cs="Times New Roman"/>
          <w:b/>
          <w:color w:val="0000FF"/>
          <w:sz w:val="24"/>
          <w:szCs w:val="24"/>
        </w:rPr>
        <w:t>firme - d</w:t>
      </w:r>
      <w:r w:rsidR="00964963" w:rsidRPr="002F4A6E">
        <w:rPr>
          <w:rFonts w:ascii="Times New Roman" w:hAnsi="Times New Roman" w:cs="Times New Roman"/>
          <w:b/>
          <w:color w:val="0000FF"/>
          <w:sz w:val="24"/>
          <w:szCs w:val="24"/>
        </w:rPr>
        <w:t>eductibilitatea cheltuielilor</w:t>
      </w:r>
      <w:r w:rsidR="00D2345F" w:rsidRPr="002F4A6E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:</w:t>
      </w:r>
      <w:r w:rsidR="00964963" w:rsidRPr="002F4A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8F19A24" w14:textId="77777777" w:rsidR="00FC5010" w:rsidRPr="009127FF" w:rsidRDefault="00FC5010" w:rsidP="00B33B5A">
      <w:pPr>
        <w:pStyle w:val="List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agenții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pot deduce din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>venitul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>impozabil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>cheltuielile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>efectuate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încheiate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unitățile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Pr="002F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7FF">
        <w:rPr>
          <w:rFonts w:ascii="Times New Roman" w:hAnsi="Times New Roman" w:cs="Times New Roman"/>
          <w:b/>
          <w:sz w:val="24"/>
          <w:szCs w:val="24"/>
        </w:rPr>
        <w:t xml:space="preserve">pentru organizarea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</w:rPr>
        <w:t>desfăşurarea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</w:rPr>
        <w:t>învăţământului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</w:rPr>
        <w:t xml:space="preserve"> profesional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</w:rPr>
        <w:t xml:space="preserve"> tehnic</w:t>
      </w:r>
      <w:r w:rsidR="00B33B5A">
        <w:rPr>
          <w:rFonts w:ascii="Times New Roman" w:hAnsi="Times New Roman" w:cs="Times New Roman"/>
          <w:b/>
          <w:sz w:val="24"/>
          <w:szCs w:val="24"/>
        </w:rPr>
        <w:t>;</w:t>
      </w:r>
    </w:p>
    <w:p w14:paraId="77B325D3" w14:textId="77777777" w:rsidR="00FC5010" w:rsidRPr="002F4A6E" w:rsidRDefault="002F4A6E" w:rsidP="00B33B5A">
      <w:pPr>
        <w:pStyle w:val="List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2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genții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recuperează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fiscal,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010" w:rsidRPr="009127FF">
        <w:rPr>
          <w:rFonts w:ascii="Times New Roman" w:hAnsi="Times New Roman" w:cs="Times New Roman"/>
          <w:b/>
          <w:sz w:val="24"/>
          <w:szCs w:val="24"/>
          <w:lang w:val="en-US"/>
        </w:rPr>
        <w:t>deducerea</w:t>
      </w:r>
      <w:proofErr w:type="spellEnd"/>
      <w:r w:rsidR="00FC5010" w:rsidRPr="009127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5010" w:rsidRPr="009127FF">
        <w:rPr>
          <w:rFonts w:ascii="Times New Roman" w:hAnsi="Times New Roman" w:cs="Times New Roman"/>
          <w:b/>
          <w:sz w:val="24"/>
          <w:szCs w:val="24"/>
          <w:lang w:val="en-US"/>
        </w:rPr>
        <w:t>amortizării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FC5010" w:rsidRPr="009127FF">
        <w:rPr>
          <w:rFonts w:ascii="Times New Roman" w:hAnsi="Times New Roman" w:cs="Times New Roman"/>
          <w:b/>
          <w:i/>
          <w:sz w:val="24"/>
          <w:szCs w:val="24"/>
          <w:lang w:val="en-US"/>
        </w:rPr>
        <w:t>mijloacele</w:t>
      </w:r>
      <w:proofErr w:type="spellEnd"/>
      <w:r w:rsidR="00FC5010" w:rsidRPr="009127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fixe </w:t>
      </w:r>
      <w:proofErr w:type="spellStart"/>
      <w:r w:rsidR="00FC5010" w:rsidRPr="009127FF">
        <w:rPr>
          <w:rFonts w:ascii="Times New Roman" w:hAnsi="Times New Roman" w:cs="Times New Roman"/>
          <w:b/>
          <w:i/>
          <w:sz w:val="24"/>
          <w:szCs w:val="24"/>
          <w:lang w:val="en-US"/>
        </w:rPr>
        <w:t>și</w:t>
      </w:r>
      <w:proofErr w:type="spellEnd"/>
      <w:r w:rsidR="00FC5010" w:rsidRPr="009127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C5010" w:rsidRPr="009127FF">
        <w:rPr>
          <w:rFonts w:ascii="Times New Roman" w:hAnsi="Times New Roman" w:cs="Times New Roman"/>
          <w:b/>
          <w:i/>
          <w:sz w:val="24"/>
          <w:szCs w:val="24"/>
          <w:lang w:val="en-US"/>
        </w:rPr>
        <w:t>investițiile</w:t>
      </w:r>
      <w:proofErr w:type="spellEnd"/>
      <w:r w:rsidR="009127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010" w:rsidRPr="002F4A6E">
        <w:rPr>
          <w:rFonts w:ascii="Times New Roman" w:hAnsi="Times New Roman" w:cs="Times New Roman"/>
          <w:sz w:val="24"/>
          <w:szCs w:val="24"/>
        </w:rPr>
        <w:t>efectuate</w:t>
      </w:r>
      <w:r w:rsidR="0091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încheiate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unitățile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5010" w:rsidRPr="002F4A6E">
        <w:rPr>
          <w:rFonts w:ascii="Times New Roman" w:hAnsi="Times New Roman" w:cs="Times New Roman"/>
          <w:sz w:val="24"/>
          <w:szCs w:val="24"/>
        </w:rPr>
        <w:t xml:space="preserve"> pentru organizarea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</w:rPr>
        <w:t xml:space="preserve"> profesional </w:t>
      </w:r>
      <w:proofErr w:type="spellStart"/>
      <w:r w:rsidR="00FC5010" w:rsidRPr="002F4A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C5010" w:rsidRPr="002F4A6E">
        <w:rPr>
          <w:rFonts w:ascii="Times New Roman" w:hAnsi="Times New Roman" w:cs="Times New Roman"/>
          <w:sz w:val="24"/>
          <w:szCs w:val="24"/>
        </w:rPr>
        <w:t xml:space="preserve"> tehnic</w:t>
      </w:r>
      <w:r w:rsidR="00B33B5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EBF0C2F" w14:textId="77777777" w:rsidR="002F4A6E" w:rsidRPr="002F4A6E" w:rsidRDefault="002F4A6E" w:rsidP="00B33B5A">
      <w:pPr>
        <w:pStyle w:val="List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2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FF">
        <w:rPr>
          <w:rFonts w:ascii="Times New Roman" w:hAnsi="Times New Roman" w:cs="Times New Roman"/>
          <w:b/>
          <w:sz w:val="24"/>
          <w:szCs w:val="24"/>
        </w:rPr>
        <w:t xml:space="preserve">deductibilitatea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>cheltuielilor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  <w:lang w:val="en-US"/>
        </w:rPr>
        <w:t>efectuate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încheiate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unitățile</w:t>
      </w:r>
      <w:proofErr w:type="spellEnd"/>
      <w:r w:rsidRPr="002F4A6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F4A6E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Pr="002F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A6E">
        <w:rPr>
          <w:rFonts w:ascii="Times New Roman" w:hAnsi="Times New Roman" w:cs="Times New Roman"/>
          <w:sz w:val="24"/>
          <w:szCs w:val="24"/>
        </w:rPr>
        <w:t xml:space="preserve">pentru organizarea </w:t>
      </w:r>
      <w:proofErr w:type="spellStart"/>
      <w:r w:rsidRPr="002F4A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F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F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A6E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2F4A6E">
        <w:rPr>
          <w:rFonts w:ascii="Times New Roman" w:hAnsi="Times New Roman" w:cs="Times New Roman"/>
          <w:sz w:val="24"/>
          <w:szCs w:val="24"/>
        </w:rPr>
        <w:t xml:space="preserve"> profesional </w:t>
      </w:r>
      <w:proofErr w:type="spellStart"/>
      <w:r w:rsidRPr="002F4A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F4A6E">
        <w:rPr>
          <w:rFonts w:ascii="Times New Roman" w:hAnsi="Times New Roman" w:cs="Times New Roman"/>
          <w:sz w:val="24"/>
          <w:szCs w:val="24"/>
        </w:rPr>
        <w:t xml:space="preserve"> tehnic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7FF">
        <w:rPr>
          <w:rFonts w:ascii="Times New Roman" w:hAnsi="Times New Roman" w:cs="Times New Roman"/>
          <w:b/>
          <w:i/>
          <w:sz w:val="24"/>
          <w:szCs w:val="24"/>
        </w:rPr>
        <w:t>se aplică și în cazul activităților independente</w:t>
      </w:r>
      <w:r w:rsidR="00B33B5A">
        <w:rPr>
          <w:rFonts w:ascii="Times New Roman" w:hAnsi="Times New Roman" w:cs="Times New Roman"/>
          <w:sz w:val="24"/>
          <w:szCs w:val="24"/>
        </w:rPr>
        <w:t>.</w:t>
      </w:r>
    </w:p>
    <w:p w14:paraId="72433CB7" w14:textId="77777777" w:rsidR="00B33B5A" w:rsidRDefault="00B33B5A" w:rsidP="00B628B1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187D29ED" w14:textId="77777777" w:rsidR="00975876" w:rsidRDefault="00B33B5A" w:rsidP="00B3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Fac</w:t>
      </w:r>
      <w:r w:rsidR="00B628B1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ilități</w:t>
      </w:r>
      <w:proofErr w:type="spellEnd"/>
      <w:r w:rsidR="00B628B1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proofErr w:type="spellStart"/>
      <w:r w:rsidR="00B628B1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fiscal</w:t>
      </w:r>
      <w:r w:rsidR="009127FF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e</w:t>
      </w:r>
      <w:proofErr w:type="spellEnd"/>
      <w:r w:rsidR="00B628B1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proofErr w:type="spellStart"/>
      <w:r w:rsidR="00B628B1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pentru</w:t>
      </w:r>
      <w:proofErr w:type="spellEnd"/>
      <w:r w:rsidR="00B628B1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proofErr w:type="spellStart"/>
      <w:r w:rsidR="00B628B1" w:rsidRPr="00B628B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elevi</w:t>
      </w:r>
      <w:proofErr w:type="spellEnd"/>
      <w:r w:rsidR="009127FF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:</w:t>
      </w:r>
    </w:p>
    <w:p w14:paraId="14BE1CE0" w14:textId="77777777" w:rsidR="009127FF" w:rsidRPr="006B6E5D" w:rsidRDefault="009127FF" w:rsidP="00B33B5A">
      <w:pPr>
        <w:pStyle w:val="List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219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127FF">
        <w:rPr>
          <w:rFonts w:ascii="Times New Roman" w:hAnsi="Times New Roman" w:cs="Times New Roman"/>
          <w:sz w:val="24"/>
          <w:szCs w:val="24"/>
          <w:lang w:val="en-US"/>
        </w:rPr>
        <w:t>neimpozitarea</w:t>
      </w:r>
      <w:proofErr w:type="spellEnd"/>
      <w:r w:rsidR="00FE0A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0A8F" w:rsidRPr="00FE0A8F">
        <w:rPr>
          <w:rFonts w:ascii="Times New Roman" w:hAnsi="Times New Roman" w:cs="Times New Roman"/>
          <w:sz w:val="24"/>
          <w:szCs w:val="24"/>
        </w:rPr>
        <w:t xml:space="preserve"> </w:t>
      </w:r>
      <w:r w:rsidR="00FE0A8F">
        <w:rPr>
          <w:rFonts w:ascii="Times New Roman" w:hAnsi="Times New Roman" w:cs="Times New Roman"/>
          <w:sz w:val="24"/>
          <w:szCs w:val="24"/>
        </w:rPr>
        <w:t>î</w:t>
      </w:r>
      <w:r w:rsidR="00FE0A8F" w:rsidRPr="00174A9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FE0A8F" w:rsidRPr="00174A98">
        <w:rPr>
          <w:rFonts w:ascii="Times New Roman" w:hAnsi="Times New Roman" w:cs="Times New Roman"/>
          <w:sz w:val="24"/>
          <w:szCs w:val="24"/>
          <w:lang w:val="en-US"/>
        </w:rPr>
        <w:t>înţelesul</w:t>
      </w:r>
      <w:proofErr w:type="spellEnd"/>
      <w:r w:rsidR="00FE0A8F" w:rsidRPr="0017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0A8F" w:rsidRPr="00174A98">
        <w:rPr>
          <w:rFonts w:ascii="Times New Roman" w:hAnsi="Times New Roman" w:cs="Times New Roman"/>
          <w:sz w:val="24"/>
          <w:szCs w:val="24"/>
          <w:lang w:val="en-US"/>
        </w:rPr>
        <w:t>impozitului</w:t>
      </w:r>
      <w:proofErr w:type="spellEnd"/>
      <w:r w:rsidR="00FE0A8F" w:rsidRPr="00174A9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proofErr w:type="gramStart"/>
      <w:r w:rsidR="00FE0A8F" w:rsidRPr="00174A98">
        <w:rPr>
          <w:rFonts w:ascii="Times New Roman" w:hAnsi="Times New Roman" w:cs="Times New Roman"/>
          <w:sz w:val="24"/>
          <w:szCs w:val="24"/>
          <w:lang w:val="en-US"/>
        </w:rPr>
        <w:t>venit</w:t>
      </w:r>
      <w:proofErr w:type="spellEnd"/>
      <w:r w:rsidR="00FE0A8F" w:rsidRPr="00174A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A8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E0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7FF">
        <w:rPr>
          <w:rFonts w:ascii="Times New Roman" w:hAnsi="Times New Roman" w:cs="Times New Roman"/>
          <w:sz w:val="24"/>
          <w:szCs w:val="24"/>
        </w:rPr>
        <w:t xml:space="preserve">burselor, premiilor </w:t>
      </w:r>
      <w:proofErr w:type="spellStart"/>
      <w:r w:rsidRPr="009127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27FF">
        <w:rPr>
          <w:rFonts w:ascii="Times New Roman" w:hAnsi="Times New Roman" w:cs="Times New Roman"/>
          <w:sz w:val="24"/>
          <w:szCs w:val="24"/>
        </w:rPr>
        <w:t xml:space="preserve"> altor drepturi sub formă de cazare, masă, transport, echipamente de lucru/</w:t>
      </w:r>
      <w:proofErr w:type="spellStart"/>
      <w:r w:rsidRPr="009127FF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91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7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27FF">
        <w:rPr>
          <w:rFonts w:ascii="Times New Roman" w:hAnsi="Times New Roman" w:cs="Times New Roman"/>
          <w:sz w:val="24"/>
          <w:szCs w:val="24"/>
        </w:rPr>
        <w:t xml:space="preserve"> altele asemenea </w:t>
      </w:r>
      <w:r w:rsidRPr="009127FF">
        <w:rPr>
          <w:rFonts w:ascii="Times New Roman" w:hAnsi="Times New Roman" w:cs="Times New Roman"/>
          <w:i/>
          <w:sz w:val="24"/>
          <w:szCs w:val="24"/>
        </w:rPr>
        <w:t xml:space="preserve">primite de elevi </w:t>
      </w:r>
      <w:r w:rsidRPr="009127FF">
        <w:rPr>
          <w:rFonts w:ascii="Times New Roman" w:hAnsi="Times New Roman" w:cs="Times New Roman"/>
          <w:b/>
          <w:sz w:val="24"/>
          <w:szCs w:val="24"/>
        </w:rPr>
        <w:t xml:space="preserve">pe parcursul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</w:rPr>
        <w:t>învăţământului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</w:rPr>
        <w:t xml:space="preserve"> profesional </w:t>
      </w:r>
      <w:proofErr w:type="spellStart"/>
      <w:r w:rsidRPr="009127F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127FF">
        <w:rPr>
          <w:rFonts w:ascii="Times New Roman" w:hAnsi="Times New Roman" w:cs="Times New Roman"/>
          <w:b/>
          <w:sz w:val="24"/>
          <w:szCs w:val="24"/>
        </w:rPr>
        <w:t xml:space="preserve"> tehnic, </w:t>
      </w:r>
      <w:r w:rsidRPr="009127FF">
        <w:rPr>
          <w:rFonts w:ascii="Times New Roman" w:hAnsi="Times New Roman" w:cs="Times New Roman"/>
          <w:i/>
          <w:sz w:val="24"/>
          <w:szCs w:val="24"/>
        </w:rPr>
        <w:t>potrivit reglementărilor legale d</w:t>
      </w:r>
      <w:r w:rsidR="006B6E5D">
        <w:rPr>
          <w:rFonts w:ascii="Times New Roman" w:hAnsi="Times New Roman" w:cs="Times New Roman"/>
          <w:i/>
          <w:sz w:val="24"/>
          <w:szCs w:val="24"/>
        </w:rPr>
        <w:t xml:space="preserve">in domeniul </w:t>
      </w:r>
      <w:proofErr w:type="spellStart"/>
      <w:r w:rsidR="006B6E5D">
        <w:rPr>
          <w:rFonts w:ascii="Times New Roman" w:hAnsi="Times New Roman" w:cs="Times New Roman"/>
          <w:i/>
          <w:sz w:val="24"/>
          <w:szCs w:val="24"/>
        </w:rPr>
        <w:t>educaţiei</w:t>
      </w:r>
      <w:proofErr w:type="spellEnd"/>
      <w:r w:rsidR="006B6E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E5D">
        <w:rPr>
          <w:rFonts w:ascii="Times New Roman" w:hAnsi="Times New Roman" w:cs="Times New Roman"/>
          <w:i/>
          <w:sz w:val="24"/>
          <w:szCs w:val="24"/>
        </w:rPr>
        <w:t>naţionale</w:t>
      </w:r>
      <w:proofErr w:type="spellEnd"/>
      <w:r w:rsidRPr="009127FF">
        <w:rPr>
          <w:rFonts w:ascii="Times New Roman" w:hAnsi="Times New Roman" w:cs="Times New Roman"/>
          <w:sz w:val="24"/>
          <w:szCs w:val="24"/>
        </w:rPr>
        <w:t>.</w:t>
      </w:r>
    </w:p>
    <w:p w14:paraId="5C66848E" w14:textId="77777777" w:rsidR="009D7AB6" w:rsidRDefault="009D7AB6" w:rsidP="00191A20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F82ADA" w14:textId="77777777" w:rsidR="009D7AB6" w:rsidRPr="009D7AB6" w:rsidRDefault="009D7AB6" w:rsidP="009D7AB6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9D7AB6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BAZA LEGALĂ</w:t>
      </w:r>
    </w:p>
    <w:p w14:paraId="4290E348" w14:textId="77777777" w:rsidR="00B33B5A" w:rsidRPr="007A07EB" w:rsidRDefault="00B33B5A" w:rsidP="00B33B5A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Prevederi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din </w:t>
      </w: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Codul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Fiscal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(CF)</w:t>
      </w:r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modific</w:t>
      </w:r>
      <w:r w:rsidRPr="007A07EB">
        <w:rPr>
          <w:rFonts w:ascii="Times New Roman" w:hAnsi="Times New Roman" w:cs="Times New Roman"/>
          <w:b/>
          <w:sz w:val="24"/>
          <w:szCs w:val="24"/>
        </w:rPr>
        <w:t>ările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</w:rPr>
        <w:t xml:space="preserve"> și completările aduse prin </w:t>
      </w:r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OUG 84/2016:</w:t>
      </w:r>
    </w:p>
    <w:p w14:paraId="4B6C252F" w14:textId="77777777" w:rsidR="00B33B5A" w:rsidRDefault="00B33B5A" w:rsidP="003F4B26">
      <w:pPr>
        <w:pStyle w:val="Listparagraf"/>
        <w:numPr>
          <w:ilvl w:val="0"/>
          <w:numId w:val="1"/>
        </w:numPr>
        <w:spacing w:before="120" w:after="120" w:line="240" w:lineRule="auto"/>
        <w:ind w:left="284" w:hanging="218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F4B26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(9)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introdus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art. </w:t>
      </w:r>
      <w:proofErr w:type="gram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25  din</w:t>
      </w:r>
      <w:proofErr w:type="gram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CF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OUG 84/2016 (pct. 7):</w:t>
      </w:r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sunt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cheltuieli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deductibile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determinarea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rezultatului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fiscal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cheltuielile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efectuate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organizarea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desfăşurarea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învăţământului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profesional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tehnic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potrivit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reglementărilor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legale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domeniul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educaţiei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naţionale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14:paraId="0EDB68B9" w14:textId="77777777" w:rsidR="00B33B5A" w:rsidRPr="003F4B26" w:rsidRDefault="00B33B5A" w:rsidP="003F4B26">
      <w:pPr>
        <w:pStyle w:val="Listparagraf"/>
        <w:numPr>
          <w:ilvl w:val="0"/>
          <w:numId w:val="1"/>
        </w:numPr>
        <w:spacing w:before="120" w:after="120" w:line="240" w:lineRule="auto"/>
        <w:ind w:left="284" w:hanging="218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Conf. </w:t>
      </w:r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lit. h)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lit.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introduse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art. 28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(3) din CF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OUG 84/2016 (pct. 8),</w:t>
      </w:r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sz w:val="24"/>
          <w:szCs w:val="24"/>
          <w:lang w:val="en-US"/>
        </w:rPr>
        <w:t>coroborat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F4B2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. (1) art. 28 din CF, </w:t>
      </w:r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recuperează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din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punct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vedere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fiscal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deducerea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amortizării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4D4339" w14:textId="77777777" w:rsidR="00B33B5A" w:rsidRPr="000A4647" w:rsidRDefault="00B33B5A" w:rsidP="003F4B26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“h)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mijloacele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fixe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deţinute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utilizate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organizarea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desfăşurarea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învăţământului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profesional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tehnic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potrivit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reglementărilor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legale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domeniul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educaţiei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naţionale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”;</w:t>
      </w:r>
    </w:p>
    <w:p w14:paraId="39189628" w14:textId="77777777" w:rsidR="00B33B5A" w:rsidRDefault="00B33B5A" w:rsidP="003F4B26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investiţiile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efectuate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organizarea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desfăşurarea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învăţământului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profesional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b/>
          <w:i/>
          <w:sz w:val="24"/>
          <w:szCs w:val="24"/>
          <w:lang w:val="en-US"/>
        </w:rPr>
        <w:t>tehnic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potrivit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reglementărilor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legale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domeniul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educaţiei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naţionale</w:t>
      </w:r>
      <w:proofErr w:type="spellEnd"/>
      <w:r w:rsidRPr="000A4647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14:paraId="7F455C10" w14:textId="77777777" w:rsidR="00B33B5A" w:rsidRPr="003F4B26" w:rsidRDefault="00B33B5A" w:rsidP="003F4B26">
      <w:pPr>
        <w:pStyle w:val="Listparagraf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Conf. </w:t>
      </w:r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art. 62, lit. o</w:t>
      </w:r>
      <w:r w:rsidRPr="003F4B26">
        <w:rPr>
          <w:b/>
        </w:rPr>
        <w:t xml:space="preserve"> </w:t>
      </w:r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^1)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introdusă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art. 62 din CF </w:t>
      </w:r>
      <w:proofErr w:type="spellStart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3F4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OUG 84/2016 (pct. 11)</w:t>
      </w:r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4B26">
        <w:rPr>
          <w:rFonts w:ascii="Times New Roman" w:hAnsi="Times New Roman" w:cs="Times New Roman"/>
          <w:sz w:val="24"/>
          <w:szCs w:val="24"/>
        </w:rPr>
        <w:t>î</w:t>
      </w:r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3F4B26">
        <w:rPr>
          <w:rFonts w:ascii="Times New Roman" w:hAnsi="Times New Roman" w:cs="Times New Roman"/>
          <w:sz w:val="24"/>
          <w:szCs w:val="24"/>
          <w:lang w:val="en-US"/>
        </w:rPr>
        <w:t>înţelesul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sz w:val="24"/>
          <w:szCs w:val="24"/>
          <w:lang w:val="en-US"/>
        </w:rPr>
        <w:t>impozitului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3F4B26">
        <w:rPr>
          <w:rFonts w:ascii="Times New Roman" w:hAnsi="Times New Roman" w:cs="Times New Roman"/>
          <w:sz w:val="24"/>
          <w:szCs w:val="24"/>
          <w:lang w:val="en-US"/>
        </w:rPr>
        <w:t>venit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nu sunt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impozabile</w:t>
      </w:r>
      <w:proofErr w:type="spellEnd"/>
      <w:r w:rsidRPr="003F4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bursele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premiile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alte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drepturi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sub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formă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cazare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masă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transport,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echipamente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lucru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protecţie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altele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asemenea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primite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elevi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pe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parcursul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învăţământului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profesional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şi</w:t>
      </w:r>
      <w:proofErr w:type="spellEnd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b/>
          <w:i/>
          <w:sz w:val="24"/>
          <w:szCs w:val="24"/>
          <w:lang w:val="en-US"/>
        </w:rPr>
        <w:t>tehnic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potrivit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reglementărilor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legale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domeniul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educaţiei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naţionale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  <w:lang w:val="en-US"/>
        </w:rPr>
        <w:t>”.</w:t>
      </w:r>
    </w:p>
    <w:p w14:paraId="22E9C25B" w14:textId="77777777" w:rsidR="00B33B5A" w:rsidRDefault="00B33B5A" w:rsidP="00B33B5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D1F04D" w14:textId="77777777" w:rsidR="00B33B5A" w:rsidRDefault="00B33B5A" w:rsidP="00B33B5A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A07EB">
        <w:rPr>
          <w:rFonts w:ascii="Times New Roman" w:hAnsi="Times New Roman" w:cs="Times New Roman"/>
          <w:sz w:val="24"/>
          <w:szCs w:val="24"/>
          <w:lang w:val="en-US"/>
        </w:rPr>
        <w:t>Dispozi</w:t>
      </w:r>
      <w:r w:rsidRPr="007A07EB">
        <w:rPr>
          <w:rFonts w:ascii="Times New Roman" w:hAnsi="Times New Roman" w:cs="Times New Roman"/>
          <w:sz w:val="24"/>
          <w:szCs w:val="24"/>
        </w:rPr>
        <w:t>țiile</w:t>
      </w:r>
      <w:proofErr w:type="spellEnd"/>
      <w:r w:rsidRPr="007A07EB">
        <w:rPr>
          <w:rFonts w:ascii="Times New Roman" w:hAnsi="Times New Roman" w:cs="Times New Roman"/>
          <w:sz w:val="24"/>
          <w:szCs w:val="24"/>
        </w:rPr>
        <w:t xml:space="preserve"> de mai sus din CF trebuie coroborate cu următoarele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revederi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relevante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LEN nr. 1/2011 cu </w:t>
      </w: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modificările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completările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>ulterioare</w:t>
      </w:r>
      <w:proofErr w:type="spellEnd"/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(v. </w:t>
      </w:r>
      <w:proofErr w:type="spellStart"/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>Legea</w:t>
      </w:r>
      <w:proofErr w:type="spellEnd"/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nr. 82/2018 </w:t>
      </w:r>
      <w:r w:rsidR="005B2D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 </w:t>
      </w:r>
      <w:proofErr w:type="spellStart"/>
      <w:r w:rsidR="005B2DA5">
        <w:rPr>
          <w:rFonts w:ascii="Times New Roman" w:hAnsi="Times New Roman" w:cs="Times New Roman"/>
          <w:b/>
          <w:sz w:val="24"/>
          <w:szCs w:val="24"/>
          <w:lang w:val="en-US"/>
        </w:rPr>
        <w:t>aprobare</w:t>
      </w:r>
      <w:proofErr w:type="spellEnd"/>
      <w:r w:rsidR="005B2D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B2D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>OUG</w:t>
      </w:r>
      <w:r w:rsidR="005B2D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nr. </w:t>
      </w:r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81</w:t>
      </w:r>
      <w:r w:rsidR="005B2DA5">
        <w:rPr>
          <w:rFonts w:ascii="Times New Roman" w:hAnsi="Times New Roman" w:cs="Times New Roman"/>
          <w:b/>
          <w:sz w:val="24"/>
          <w:szCs w:val="24"/>
          <w:lang w:val="en-US"/>
        </w:rPr>
        <w:t>/2017</w:t>
      </w:r>
      <w:r w:rsidR="003715E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CFCB29C" w14:textId="77777777" w:rsidR="00B33B5A" w:rsidRDefault="00B33B5A" w:rsidP="00B33B5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Art. 32, </w:t>
      </w:r>
      <w:proofErr w:type="spellStart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Pr="007A07EB">
        <w:rPr>
          <w:rFonts w:ascii="Times New Roman" w:hAnsi="Times New Roman" w:cs="Times New Roman"/>
          <w:b/>
          <w:sz w:val="24"/>
          <w:szCs w:val="24"/>
          <w:lang w:val="en-US"/>
        </w:rPr>
        <w:t>. (5)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economici care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încheie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contract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parteneriat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unităţile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învăţământ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care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desfăşoară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învăţământ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profesional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tehnic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potrivit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reglementărilor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legale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domeniul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educaţiei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naţionale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beneficiază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facilităţi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plata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impozitelor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taxelor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contribuţiilor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datorate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bugetului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stat,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bugetului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asigurărilor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sociale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bugetelor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fondurilor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speciale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sau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bugetelor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locale,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potrivit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prevederilor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legale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."</w:t>
      </w:r>
    </w:p>
    <w:p w14:paraId="255CCF3C" w14:textId="77777777" w:rsidR="00B33B5A" w:rsidRDefault="00B33B5A" w:rsidP="00B33B5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486EBFD" w14:textId="77777777" w:rsidR="00B33B5A" w:rsidRPr="00D40F36" w:rsidRDefault="00B33B5A" w:rsidP="00B33B5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0F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Art. 102, </w:t>
      </w:r>
      <w:proofErr w:type="spellStart"/>
      <w:r w:rsidRPr="00D40F36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Pr="00D40F36">
        <w:rPr>
          <w:rFonts w:ascii="Times New Roman" w:hAnsi="Times New Roman" w:cs="Times New Roman"/>
          <w:b/>
          <w:sz w:val="24"/>
          <w:szCs w:val="24"/>
          <w:lang w:val="en-US"/>
        </w:rPr>
        <w:t>. (3):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cazul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învățământului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profesional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tehnic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finanțarea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partea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operatorilor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economici se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realizează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baza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unui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contract de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parteneriat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încheiat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între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unitatea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învățământ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unitatea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administrativ-teritorială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raza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căreia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află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unitatea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școlară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operatorul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sau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operatorii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economici.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Categoriile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operatorii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economici,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organizarea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desfășurarea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învățământului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profesional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tehnic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, sunt:</w:t>
      </w:r>
    </w:p>
    <w:p w14:paraId="771835C7" w14:textId="77777777" w:rsidR="00B33B5A" w:rsidRPr="00D40F36" w:rsidRDefault="00B33B5A" w:rsidP="00B33B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6D410A5" w14:textId="77777777" w:rsidR="00B33B5A" w:rsidRPr="00D40F36" w:rsidRDefault="00B33B5A" w:rsidP="00B33B5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organizarea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procesului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învăţământ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anume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efectuate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elevi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precum: burse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premii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oferite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elevilor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echipamente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lucru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protecţie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transport,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masă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cazare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parcursul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pregătirii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 la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alte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facilităţi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oferite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acestora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respectiv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securitatea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sănătatea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muncă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analize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medicale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obligatorii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funcţie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domeniul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activitate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asigurări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răspundere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civilă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cazul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unor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eventuale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accidente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daune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sau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vătămări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corporale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generate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timpul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pregătirii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 la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materiale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susţinerea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activităţilor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desfăşurate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parcursul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pregătirii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 la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reprezentând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rechizite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cărţi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specialitate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auxiliare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didactice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softuri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educaţionale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costuri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legate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evaluarea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certificarea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elevilor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materii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prime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materiale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consumabile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alte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acest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tip,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aferente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achiziţiei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punerii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funcţiune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exploatării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mijloacelor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fixe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utilizate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 pe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parcursul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pregătirii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 a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elevilor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aferente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salarizării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pregătirii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personalului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propriu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economici -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tutori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formatori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pregătirea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practică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elevilor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aferente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pregătirii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sprijinirii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cadrelor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didactice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unitatea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învăţământ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parteneră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precum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sumele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plătite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direct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cadrelor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didactice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baza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unor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contracte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încheiate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condiţiile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legii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operatorul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sau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operatorii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economici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alte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activităţi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decât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cele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prevăzute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norma</w:t>
      </w:r>
      <w:proofErr w:type="spellEnd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715E0" w:rsidRPr="003715E0">
        <w:rPr>
          <w:rFonts w:ascii="Times New Roman" w:hAnsi="Times New Roman" w:cs="Times New Roman"/>
          <w:i/>
          <w:sz w:val="24"/>
          <w:szCs w:val="24"/>
          <w:lang w:val="en-US"/>
        </w:rPr>
        <w:t>didactică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14:paraId="408F85CC" w14:textId="77777777" w:rsidR="00B33B5A" w:rsidRPr="00D40F36" w:rsidRDefault="00B33B5A" w:rsidP="00B33B5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D0CC6B0" w14:textId="77777777" w:rsidR="00B33B5A" w:rsidRPr="00D40F36" w:rsidRDefault="00B33B5A" w:rsidP="00B33B5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b)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cheltuieli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investiții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spații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învățământ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existente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sau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nou-edificate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precum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echipamente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natura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mijloacelor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fixe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achiziționate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puse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funcțiune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fi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utilizate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vederea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pregătirii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elevilor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realizate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unitatea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învățământ</w:t>
      </w:r>
      <w:proofErr w:type="spellEnd"/>
      <w:r w:rsidRPr="00D40F36">
        <w:rPr>
          <w:rFonts w:ascii="Times New Roman" w:hAnsi="Times New Roman" w:cs="Times New Roman"/>
          <w:i/>
          <w:sz w:val="24"/>
          <w:szCs w:val="24"/>
          <w:lang w:val="en-US"/>
        </w:rPr>
        <w:t>."</w:t>
      </w:r>
    </w:p>
    <w:p w14:paraId="4E2F3723" w14:textId="77777777" w:rsidR="00191A20" w:rsidRDefault="00191A20" w:rsidP="00191A20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91A20" w:rsidSect="003F4B26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B3851" w14:textId="77777777" w:rsidR="00F94EAE" w:rsidRDefault="00F94EAE" w:rsidP="00F346DF">
      <w:pPr>
        <w:spacing w:after="0" w:line="240" w:lineRule="auto"/>
      </w:pPr>
      <w:r>
        <w:separator/>
      </w:r>
    </w:p>
  </w:endnote>
  <w:endnote w:type="continuationSeparator" w:id="0">
    <w:p w14:paraId="5740599A" w14:textId="77777777" w:rsidR="00F94EAE" w:rsidRDefault="00F94EAE" w:rsidP="00F3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8FFCD" w14:textId="77777777" w:rsidR="00F94EAE" w:rsidRDefault="00F94EAE" w:rsidP="00F346DF">
      <w:pPr>
        <w:spacing w:after="0" w:line="240" w:lineRule="auto"/>
      </w:pPr>
      <w:r>
        <w:separator/>
      </w:r>
    </w:p>
  </w:footnote>
  <w:footnote w:type="continuationSeparator" w:id="0">
    <w:p w14:paraId="49FF572E" w14:textId="77777777" w:rsidR="00F94EAE" w:rsidRDefault="00F94EAE" w:rsidP="00F3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6B2"/>
    <w:multiLevelType w:val="hybridMultilevel"/>
    <w:tmpl w:val="96B4F14E"/>
    <w:lvl w:ilvl="0" w:tplc="809A0742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7D926B3"/>
    <w:multiLevelType w:val="hybridMultilevel"/>
    <w:tmpl w:val="E5E03FF0"/>
    <w:lvl w:ilvl="0" w:tplc="809A0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C6"/>
    <w:rsid w:val="00104642"/>
    <w:rsid w:val="00181C22"/>
    <w:rsid w:val="00191A20"/>
    <w:rsid w:val="001C05A0"/>
    <w:rsid w:val="001C445D"/>
    <w:rsid w:val="001E3CF9"/>
    <w:rsid w:val="002B6ABF"/>
    <w:rsid w:val="002F4A6E"/>
    <w:rsid w:val="002F4F1A"/>
    <w:rsid w:val="00335C52"/>
    <w:rsid w:val="003715E0"/>
    <w:rsid w:val="003A75F4"/>
    <w:rsid w:val="003B663E"/>
    <w:rsid w:val="003F4B26"/>
    <w:rsid w:val="00441D2A"/>
    <w:rsid w:val="00557B73"/>
    <w:rsid w:val="0056472D"/>
    <w:rsid w:val="005B2DA5"/>
    <w:rsid w:val="00607B79"/>
    <w:rsid w:val="006504AC"/>
    <w:rsid w:val="006B6E5D"/>
    <w:rsid w:val="007262B7"/>
    <w:rsid w:val="00740806"/>
    <w:rsid w:val="007A2C6C"/>
    <w:rsid w:val="007A66CC"/>
    <w:rsid w:val="00814F5E"/>
    <w:rsid w:val="009127FF"/>
    <w:rsid w:val="0091712C"/>
    <w:rsid w:val="00964963"/>
    <w:rsid w:val="00975876"/>
    <w:rsid w:val="009D7AB6"/>
    <w:rsid w:val="00A343BF"/>
    <w:rsid w:val="00AE43AC"/>
    <w:rsid w:val="00B33B5A"/>
    <w:rsid w:val="00B628B1"/>
    <w:rsid w:val="00C638C9"/>
    <w:rsid w:val="00CB663A"/>
    <w:rsid w:val="00CE7F27"/>
    <w:rsid w:val="00D2345F"/>
    <w:rsid w:val="00D45BA4"/>
    <w:rsid w:val="00D65572"/>
    <w:rsid w:val="00E86DC6"/>
    <w:rsid w:val="00E93DE4"/>
    <w:rsid w:val="00F31BAC"/>
    <w:rsid w:val="00F346DF"/>
    <w:rsid w:val="00F91852"/>
    <w:rsid w:val="00F94EAE"/>
    <w:rsid w:val="00FC5010"/>
    <w:rsid w:val="00FE0A8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966E"/>
  <w15:docId w15:val="{ED39C587-EA6C-4D55-9387-747510A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07B79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346D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346D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F346D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F31BA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31BAC"/>
    <w:pPr>
      <w:spacing w:line="240" w:lineRule="auto"/>
    </w:pPr>
    <w:rPr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31BAC"/>
    <w:rPr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1BAC"/>
    <w:rPr>
      <w:rFonts w:ascii="Tahoma" w:hAnsi="Tahoma" w:cs="Tahoma"/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31BAC"/>
    <w:rPr>
      <w:b/>
      <w:bCs/>
      <w:lang w:val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31BA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84F9-FBC5-47F8-AF24-EEEE59C9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2020-10-13T18:43:00Z</dcterms:created>
  <dcterms:modified xsi:type="dcterms:W3CDTF">2020-10-13T18:43:00Z</dcterms:modified>
</cp:coreProperties>
</file>